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046E" w:rsidRPr="008A046E" w:rsidRDefault="008A046E" w:rsidP="008A046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A046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Диагностика математического интеллекта Тест математических аналогий{ В. Н. Дружинин }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Задания, включаемые в тест математических аналогий, должны удовлетворять требованиям, предъявляемым к любым тестам способностей: быть стандартными, однородными по структуре, быть эквивалентными или же упорядоченными по трудности. Кроме того, они должны удовлетворять требованиям теоретической валидности: диагностировать математическую способность как таковую. К этому добавляется требование экологической валидности теста: соответствие его научно-практической задаче.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Поскольку важнейшим требованием, предъявляемым нами к задачам, была их применимость в школьной практике, в качестве тестового материала нами были использованы задачи, разработанные А. Г. Гайштутом, направленные на формирование у учащихся таких умственных операций, как анализ, синтез, аналогия, обобщение.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точки зрения автора, «математика, как известно, наука доказательная или дедуктивная… Но доказательство открывается с помощью правдоподобного рассуждения, с помощью догадки. Два типа рассуждения – доказательное и правдоподобное – дополняют друг друга». Задачи, предложенные Гайштутом, сформулированы на основе материала из курса математики с 4-го по 10-й класс и состоят из 5 серий: 4-й класс, 5-й класс, 6-7-й классы, 8-й класс, 9-10-й классы. Решение задач каждого типа предполагает знание учебного материала, но, помимо того, способность к мысленному обнаружению отношений между пространственными и знаковыми элементами условий задачи и умение производить математические операции с математическими структурами. Таким образом, задачи, предложенные Гайштутом, могут быть использованы для диагностики уровня развития мышления, мыслительной способности оперировать абстрактными структурами на математическом материале.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образец задачи: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Найти Электричество XIII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Неизвестное математик?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данные задачи входят 4 элемента, один из которых неизвестен. Требуется найти неизвестный элемент. Решение может быть найдено только тогда, когда будет решена вспомогательная задача: выделены отношения элементов начальных условий задачи. Между элементами «электричество» и XIII отношение тождества: число букв в слове «электричество» равно 13, между элементами «электричество» и «математик» – отношение различия: разное число букв. Следовательно, требуется, чтобы неизвестное находилось в отношении тождества с элементом «математик» и в том же отношении количественного различия с элементом XIII, как элементы «математик» и «электричество». Неизвестный элемент – число IX. Следовательно, испытуемый должен произвести операции сравнения элементов, выделить тип отношений – количественные различия и сделать умозаключение по аналогии. Как видно, отношения между элементами задачи арифметические, от испытуемого требуется знание цифровых обозначений и умение читать и считать, а также владение арифметическими действиями. Следовательно,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данная задача соответствует уровню подготовки школьника 4-го класса. Тем самым, несмотря на то что в задаче присутствует конкретный материал и для его решения требуются стандартные знания и умения, успешно решить эту задачу можно, только обладая определенным уровнем развития мыслительной способности, оперируя с символическими (пространственно-знаковыми) структурами. Следовательно, задачи удовлетворяют выдвинутому нами требованию: диагностировать одновременно уровень развития продуктивного математического мышления (открытие новых отношений) и репродуктивного математического мышления (нахождение решения при помощи применения знаний). Поскольку материал теста должен соответствовать учебной программе средней школы, тест был разбит на 5 субтестов: 1) субтест для 4-го класса, 2) субтест для 5-го класса, 3) субтест для 6-го класса, 4) субтест для 7-8-го классов и 5) субтест для 9-10-го классов. 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Теперь приведем результаты стандартизации теста математических аналогий (ТМА).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Общее число испытуемых было равно 350. Число испытуемых каждого учебного класса – 50. Получены следующие значения средних и дисперсий, характеризующих трудность и дифференцирующую силу теста.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BE6C202" wp14:editId="4EAD8DE9">
            <wp:extent cx="5394960" cy="2301240"/>
            <wp:effectExtent l="0" t="0" r="0" b="3810"/>
            <wp:docPr id="1" name="Рисунок 1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960" cy="2301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Выявилось, что субтесты для 5-го и для 9-го классов вызывали затруднения у учеников. Однако следует отметить, что тестирование учеников 9-10 классов обычной школы проходило после окончания уроков. Опрос учащихся показал, что они были утомлены и не испытывали интереса к выполнению заданий.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тестировании в остальных классах получены значения х", близкие к 5 баллам (5 правильно решенных задач), что свидетельствует об эквивалентности заданий. Дисперсии среднего балла значимо не различаются. Следовательно, все субтесты обладают примерно равной дифференцирующей силой.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Рассмотрим показатели дифференцирующей силы и трудности отдельных заданий на примере субтеста для 7-8-го классов.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Коэффициент трудности отдельных заданий находится в пределах 0,25 &lt; р &lt;0,71.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 самым можно утверждать, что тестовые задания относятся к группе заданий средней трудности.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Приведем данные трудности задач для всех субтестов, где трудность равна отношению числа испытуемых, решивших тест, к общему числу испытуемых.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3F73642" wp14:editId="1DE95C30">
            <wp:extent cx="5440680" cy="2225040"/>
            <wp:effectExtent l="0" t="0" r="7620" b="3810"/>
            <wp:docPr id="2" name="Рисунок 2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680" cy="2225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Соответствующие результаты оценки дифференцирующей силы задач в единицах стандартного отклонения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(?). 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855E6D4" wp14:editId="228533AD">
            <wp:extent cx="5516880" cy="2270760"/>
            <wp:effectExtent l="0" t="0" r="7620" b="0"/>
            <wp:docPr id="3" name="Рисунок 3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880" cy="2270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Предлагаемый тест математических аналогий «Задачи Гайштута» (ТМА) может быть использован для диагностики уровня развития общего интеллекта и математических способностей. Тест обладает достаточной внутренней и внешней валидностью. Успешность выполнения теста связана с уровнем развития способности к мысленному решению задач, понятийного и пространственного мышления. Тест следует испытывать при проведении контрольных и самостоятельных работ, так как он стандартизирован в этих ситуациях. Следует избегать включения теста в экзаменационные работы. ТМА следует применять после прохождения соответствующего учебного материала, то есть в конце года (4, 5, 6-й классы) или 2-х лет обучения (7-8, 9-10-й классы). Задачи теста обладают высокой однородностью. Если испытуемые решат больше 5 заданий, можно считать, что они обладают высоким уровнем развития способности мыслить аналогиями. Если меньше, то не следует ставить определенный диагноз. Необходимо провести через некоторое время повторное обследование и использовать в качестве дополнения другие аналогичные тесты.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Литература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Гайштут А. Г.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Математика в логических упражнениях. Киев: Радянска школа, 1985. 192 с. 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2.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Гуревич К. М.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Тесты интеллекта в психологии. // Вопросы психологии. 1982. № 2.С. 28-32.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Крутецкий В. А.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Психология математических способностей. М.: Просвещение, 1968. 432 с.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Кулагин Б. В.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Основы профессиональной психодиагностики. Л., 1984.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Мательский П. В.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Психолого-педагогические основы дидактики математики. Минск: Вышейная школа, 1977. С. 149-160.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Пиаже Ж., Инельдер Б.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Генезис элементарных логических структур: классификация и сериация. М.: Иностранная литература, 1963. 446 с.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Психодиагностика. Теория и практика / Под ред. Н. Ф. Талызиной. М.: Прогресс, 1986. 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207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8.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Guilford J.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. 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ature of Human intelligence. N.Y.: McGraw-Hills, 1967. 538 p.</w:t>
      </w:r>
    </w:p>
    <w:p w:rsidR="008A046E" w:rsidRPr="008A046E" w:rsidRDefault="008A046E" w:rsidP="008A04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9. </w:t>
      </w:r>
      <w:r w:rsidRPr="008A046E">
        <w:rPr>
          <w:rFonts w:ascii="Times New Roman" w:eastAsia="Times New Roman" w:hAnsi="Times New Roman" w:cs="Times New Roman"/>
          <w:i/>
          <w:iCs/>
          <w:sz w:val="24"/>
          <w:szCs w:val="24"/>
          <w:lang w:val="en-US" w:eastAsia="ru-RU"/>
        </w:rPr>
        <w:t xml:space="preserve">Witzlack 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G.Grundlagen der Psychodiagnostik. Berlin, 1977.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Тест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математических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аналогий</w:t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4 </w:t>
      </w: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класс</w:t>
      </w:r>
      <w:r w:rsidRPr="008A046E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E3217B" wp14:editId="38884440">
            <wp:extent cx="4678680" cy="1280160"/>
            <wp:effectExtent l="0" t="0" r="7620" b="0"/>
            <wp:docPr id="4" name="Рисунок 4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68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E7408F1" wp14:editId="4487F3C5">
            <wp:extent cx="5090160" cy="5684520"/>
            <wp:effectExtent l="0" t="0" r="0" b="0"/>
            <wp:docPr id="5" name="Рисунок 5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0160" cy="56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5 класс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2225999" wp14:editId="4AD40FE8">
            <wp:extent cx="2621280" cy="1447800"/>
            <wp:effectExtent l="0" t="0" r="7620" b="0"/>
            <wp:docPr id="6" name="Рисунок 6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0FFF85EF" wp14:editId="58C1D7D9">
            <wp:extent cx="4373880" cy="7284720"/>
            <wp:effectExtent l="0" t="0" r="7620" b="0"/>
            <wp:docPr id="7" name="Рисунок 7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3880" cy="728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B4BEF9C" wp14:editId="5B3434FF">
            <wp:extent cx="3718560" cy="4328160"/>
            <wp:effectExtent l="0" t="0" r="0" b="0"/>
            <wp:docPr id="8" name="Рисунок 8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856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6 класс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65EC5F3" wp14:editId="6CDCC741">
            <wp:extent cx="3992880" cy="2727960"/>
            <wp:effectExtent l="0" t="0" r="7620" b="0"/>
            <wp:docPr id="9" name="Рисунок 9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2880" cy="2727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F0E81BB" wp14:editId="2A93BF9F">
            <wp:extent cx="4602480" cy="6873240"/>
            <wp:effectExtent l="0" t="0" r="7620" b="3810"/>
            <wp:docPr id="10" name="Рисунок 10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2480" cy="6873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A5FAA2D" wp14:editId="7310832C">
            <wp:extent cx="4907280" cy="4206240"/>
            <wp:effectExtent l="0" t="0" r="7620" b="3810"/>
            <wp:docPr id="11" name="Рисунок 11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20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7-8 класс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5AEE676" wp14:editId="01CC3189">
            <wp:extent cx="4297680" cy="3093720"/>
            <wp:effectExtent l="0" t="0" r="7620" b="0"/>
            <wp:docPr id="12" name="Рисунок 12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7680" cy="3093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C5916D9" wp14:editId="20CE54BB">
            <wp:extent cx="4221480" cy="7071360"/>
            <wp:effectExtent l="0" t="0" r="7620" b="0"/>
            <wp:docPr id="13" name="Рисунок 13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707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9727383" wp14:editId="46C63577">
            <wp:extent cx="3764280" cy="5059680"/>
            <wp:effectExtent l="0" t="0" r="7620" b="7620"/>
            <wp:docPr id="14" name="Рисунок 14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4280" cy="5059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sz w:val="24"/>
          <w:szCs w:val="24"/>
          <w:lang w:eastAsia="ru-RU"/>
        </w:rPr>
        <w:t>9-10 класс</w:t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A0A44AB" wp14:editId="06F941BF">
            <wp:extent cx="4480560" cy="2362200"/>
            <wp:effectExtent l="0" t="0" r="0" b="0"/>
            <wp:docPr id="15" name="Рисунок 15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56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178F7429" wp14:editId="756806EF">
            <wp:extent cx="4861560" cy="7940040"/>
            <wp:effectExtent l="0" t="0" r="0" b="3810"/>
            <wp:docPr id="16" name="Рисунок 16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560" cy="794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6E" w:rsidRPr="008A046E" w:rsidRDefault="008A046E" w:rsidP="008A046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046E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2C752920" wp14:editId="25B76DEB">
            <wp:extent cx="3947160" cy="2956560"/>
            <wp:effectExtent l="0" t="0" r="0" b="0"/>
            <wp:docPr id="17" name="Рисунок 17" descr="Психология общих способносте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Психология общих способностей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295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097D" w:rsidRDefault="00A2097D">
      <w:bookmarkStart w:id="0" w:name="_GoBack"/>
      <w:bookmarkEnd w:id="0"/>
    </w:p>
    <w:sectPr w:rsidR="00A209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6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46E"/>
    <w:rsid w:val="008A046E"/>
    <w:rsid w:val="00A209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4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A04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</Company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www.PHILka.RU</cp:lastModifiedBy>
  <cp:revision>1</cp:revision>
  <dcterms:created xsi:type="dcterms:W3CDTF">2015-01-25T22:50:00Z</dcterms:created>
  <dcterms:modified xsi:type="dcterms:W3CDTF">2015-01-25T22:51:00Z</dcterms:modified>
</cp:coreProperties>
</file>